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A902" w14:textId="591C41B1" w:rsidR="00354793" w:rsidRDefault="008C7B2A" w:rsidP="00045E26">
      <w:pPr>
        <w:pStyle w:val="NoSpacing"/>
        <w:rPr>
          <w:rFonts w:cstheme="minorHAnsi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DE0368" wp14:editId="6BC0F8BB">
            <wp:simplePos x="0" y="0"/>
            <wp:positionH relativeFrom="margin">
              <wp:posOffset>-81634</wp:posOffset>
            </wp:positionH>
            <wp:positionV relativeFrom="paragraph">
              <wp:posOffset>5715</wp:posOffset>
            </wp:positionV>
            <wp:extent cx="219646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646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E8F26" w14:textId="474264A7" w:rsidR="00D21D7C" w:rsidRPr="008C7B2A" w:rsidRDefault="00D21D7C" w:rsidP="008C7B2A">
      <w:pPr>
        <w:pStyle w:val="Heading1"/>
        <w:spacing w:before="0"/>
        <w:jc w:val="right"/>
        <w:rPr>
          <w:rFonts w:ascii="Franklin Gothic Book" w:eastAsia="Times New Roman" w:hAnsi="Franklin Gothic Book"/>
          <w:b/>
          <w:sz w:val="28"/>
        </w:rPr>
      </w:pPr>
      <w:r w:rsidRPr="008C7B2A">
        <w:rPr>
          <w:rFonts w:ascii="Franklin Gothic Book" w:eastAsia="Times New Roman" w:hAnsi="Franklin Gothic Book"/>
          <w:b/>
          <w:sz w:val="28"/>
        </w:rPr>
        <w:t>College and Career Compass</w:t>
      </w:r>
    </w:p>
    <w:p w14:paraId="0407544F" w14:textId="2291FDDA" w:rsidR="00D21D7C" w:rsidRPr="008C7B2A" w:rsidRDefault="00F836F8" w:rsidP="008C7B2A">
      <w:pPr>
        <w:pStyle w:val="Heading1"/>
        <w:spacing w:before="0"/>
        <w:jc w:val="right"/>
        <w:rPr>
          <w:rFonts w:ascii="Franklin Gothic Book" w:eastAsia="Times New Roman" w:hAnsi="Franklin Gothic Book"/>
          <w:b/>
          <w:sz w:val="28"/>
        </w:rPr>
      </w:pPr>
      <w:r w:rsidRPr="008C7B2A">
        <w:rPr>
          <w:rFonts w:ascii="Franklin Gothic Book" w:eastAsia="Times New Roman" w:hAnsi="Franklin Gothic Book"/>
          <w:b/>
          <w:sz w:val="28"/>
        </w:rPr>
        <w:t>Institutional</w:t>
      </w:r>
      <w:r w:rsidR="00473BFB">
        <w:rPr>
          <w:rFonts w:ascii="Franklin Gothic Book" w:eastAsia="Times New Roman" w:hAnsi="Franklin Gothic Book"/>
          <w:b/>
          <w:sz w:val="28"/>
        </w:rPr>
        <w:t xml:space="preserve"> Self-Assessment</w:t>
      </w:r>
    </w:p>
    <w:p w14:paraId="17549E8C" w14:textId="77777777" w:rsidR="00354793" w:rsidRPr="00265203" w:rsidRDefault="00354793" w:rsidP="00045E26">
      <w:pPr>
        <w:pStyle w:val="NoSpacing"/>
        <w:rPr>
          <w:rFonts w:cstheme="minorHAnsi"/>
          <w:b/>
          <w:u w:val="single"/>
        </w:rPr>
      </w:pPr>
    </w:p>
    <w:p w14:paraId="48D69363" w14:textId="77777777" w:rsidR="00473BFB" w:rsidRPr="00C45C24" w:rsidRDefault="00473BFB" w:rsidP="00473BFB">
      <w:pPr>
        <w:pStyle w:val="Heading2"/>
      </w:pPr>
      <w:r w:rsidRPr="00C45C24">
        <w:t>Institutional Self-Assessment</w:t>
      </w:r>
    </w:p>
    <w:p w14:paraId="56FE3C79" w14:textId="2481E5FF" w:rsidR="00473BFB" w:rsidRPr="00C45C24" w:rsidRDefault="00473BFB" w:rsidP="00473BFB">
      <w:r w:rsidRPr="00C45C24">
        <w:t xml:space="preserve">The purpose of the Compass Institutional Self-Assessment is to develop strategies that support adult learners. WSAC developed the Self-Assessment after conducting a literature review and discussions with leadership from several Washington institutions. </w:t>
      </w:r>
    </w:p>
    <w:p w14:paraId="7262DE92" w14:textId="77777777" w:rsidR="00473BFB" w:rsidRPr="00C45C24" w:rsidRDefault="00473BFB" w:rsidP="00473BFB">
      <w:r w:rsidRPr="00C45C24">
        <w:t>The Washington Student Achievement Council will use the Self-Assessment results to:</w:t>
      </w:r>
    </w:p>
    <w:p w14:paraId="56018777" w14:textId="77777777" w:rsidR="00473BFB" w:rsidRPr="00C45C24" w:rsidRDefault="00473BFB" w:rsidP="00473BFB">
      <w:pPr>
        <w:pStyle w:val="ListParagraph"/>
        <w:numPr>
          <w:ilvl w:val="0"/>
          <w:numId w:val="1"/>
        </w:numPr>
        <w:spacing w:after="200" w:line="300" w:lineRule="auto"/>
      </w:pPr>
      <w:r w:rsidRPr="00C45C24">
        <w:t>Create an inventory of existing policies and practices at participating campuses.</w:t>
      </w:r>
    </w:p>
    <w:p w14:paraId="13B6C6F6" w14:textId="77777777" w:rsidR="00473BFB" w:rsidRPr="00C45C24" w:rsidRDefault="00473BFB" w:rsidP="00473BFB">
      <w:pPr>
        <w:pStyle w:val="ListParagraph"/>
        <w:numPr>
          <w:ilvl w:val="0"/>
          <w:numId w:val="1"/>
        </w:numPr>
        <w:spacing w:after="200" w:line="300" w:lineRule="auto"/>
      </w:pPr>
      <w:r w:rsidRPr="00C45C24">
        <w:t>Facilitate future learning exchanges among participating institutions.</w:t>
      </w:r>
    </w:p>
    <w:p w14:paraId="65FB7FF7" w14:textId="77777777" w:rsidR="00473BFB" w:rsidRPr="00C45C24" w:rsidRDefault="00473BFB" w:rsidP="00473BFB">
      <w:pPr>
        <w:pStyle w:val="ListParagraph"/>
        <w:numPr>
          <w:ilvl w:val="0"/>
          <w:numId w:val="1"/>
        </w:numPr>
        <w:spacing w:after="200" w:line="300" w:lineRule="auto"/>
      </w:pPr>
      <w:r w:rsidRPr="00C45C24">
        <w:t>Identify best practices for support and expansion.</w:t>
      </w:r>
    </w:p>
    <w:p w14:paraId="7C691433" w14:textId="799FDE45" w:rsidR="00473BFB" w:rsidRDefault="00473BFB" w:rsidP="00473BFB">
      <w:r w:rsidRPr="00C45C24">
        <w:t>We recognize that campuses will vary in the depth and breadth of adult learner-focused practices and responses from the Self-Assessment. WSAC will only share responses in aggregate, unless authorized by the campus leadership contact.</w:t>
      </w:r>
    </w:p>
    <w:p w14:paraId="051EF0E9" w14:textId="77777777" w:rsidR="00D9056F" w:rsidRPr="00C45C24" w:rsidRDefault="00D9056F" w:rsidP="00473BFB"/>
    <w:p w14:paraId="37FA00FE" w14:textId="44343D0E" w:rsidR="00D9056F" w:rsidRDefault="00473BFB" w:rsidP="00473BFB">
      <w:pPr>
        <w:pStyle w:val="Heading3"/>
      </w:pPr>
      <w:r w:rsidRPr="00C45C24">
        <w:t xml:space="preserve">Submit the Self-Assessment online </w:t>
      </w:r>
    </w:p>
    <w:p w14:paraId="47550E6A" w14:textId="306A8D3F" w:rsidR="00820FDF" w:rsidRPr="00C45C24" w:rsidRDefault="00D9056F" w:rsidP="00820FDF">
      <w:pPr>
        <w:pStyle w:val="NoSpacing"/>
      </w:pPr>
      <w:r>
        <w:t>To</w:t>
      </w:r>
      <w:r w:rsidR="00473BFB" w:rsidRPr="00C45C24">
        <w:t xml:space="preserve"> prepare for submission, we suggest that a cross-division campus team review the </w:t>
      </w:r>
      <w:r>
        <w:t>following</w:t>
      </w:r>
      <w:r w:rsidR="00473BFB" w:rsidRPr="00C45C24">
        <w:t xml:space="preserve"> </w:t>
      </w:r>
      <w:r>
        <w:t>worksheets</w:t>
      </w:r>
      <w:r w:rsidR="00473BFB" w:rsidRPr="00C45C24">
        <w:t xml:space="preserve"> to examine and reflect on how your campus meets the needs of adult learners. </w:t>
      </w:r>
      <w:r w:rsidR="00820FDF">
        <w:t xml:space="preserve"> Then, submit your responses online in Survey 1: Institutional Self-Assessment and Student Response Plan: </w:t>
      </w:r>
      <w:hyperlink r:id="rId12" w:history="1">
        <w:r w:rsidR="00820FDF" w:rsidRPr="008B5910">
          <w:rPr>
            <w:rStyle w:val="Hyperlink"/>
            <w:rFonts w:ascii="Tw Cen MT" w:hAnsi="Tw Cen MT"/>
            <w:szCs w:val="28"/>
          </w:rPr>
          <w:t>https://www.surveygizmo.com/s3/5358857/Compass-Institutional-Self-Assessment-and-Response-Plan</w:t>
        </w:r>
      </w:hyperlink>
    </w:p>
    <w:p w14:paraId="2CB028DD" w14:textId="6C87F7E1" w:rsidR="00473BFB" w:rsidRPr="00C45C24" w:rsidRDefault="00473BFB" w:rsidP="00473BFB">
      <w:pPr>
        <w:spacing w:before="120"/>
      </w:pPr>
    </w:p>
    <w:p w14:paraId="7D1C6393" w14:textId="53CE9FA2" w:rsidR="00473BFB" w:rsidRPr="00C45C24" w:rsidRDefault="005E6863" w:rsidP="00473BFB">
      <w:r>
        <w:t xml:space="preserve">The Self-Assessment includes institutional strategies to support adult learners </w:t>
      </w:r>
      <w:r w:rsidR="00473BFB" w:rsidRPr="00C45C24">
        <w:t xml:space="preserve">in five focus areas: </w:t>
      </w:r>
    </w:p>
    <w:p w14:paraId="4524EE92" w14:textId="77777777" w:rsidR="00473BFB" w:rsidRPr="00C45C24" w:rsidRDefault="00473BFB" w:rsidP="00473BFB">
      <w:pPr>
        <w:pStyle w:val="ListParagraph"/>
        <w:numPr>
          <w:ilvl w:val="0"/>
          <w:numId w:val="18"/>
        </w:numPr>
        <w:spacing w:after="200" w:line="300" w:lineRule="auto"/>
      </w:pPr>
      <w:r w:rsidRPr="00C45C24">
        <w:t>Admissions and enrollment</w:t>
      </w:r>
    </w:p>
    <w:p w14:paraId="34E12DBB" w14:textId="77777777" w:rsidR="00473BFB" w:rsidRPr="00C45C24" w:rsidRDefault="00473BFB" w:rsidP="00473BFB">
      <w:pPr>
        <w:pStyle w:val="ListParagraph"/>
        <w:numPr>
          <w:ilvl w:val="0"/>
          <w:numId w:val="18"/>
        </w:numPr>
        <w:spacing w:after="200" w:line="300" w:lineRule="auto"/>
      </w:pPr>
      <w:r w:rsidRPr="00C45C24">
        <w:t>Academic programs</w:t>
      </w:r>
    </w:p>
    <w:p w14:paraId="3DA43ED8" w14:textId="77777777" w:rsidR="00473BFB" w:rsidRPr="00C45C24" w:rsidRDefault="00473BFB" w:rsidP="00473BFB">
      <w:pPr>
        <w:pStyle w:val="ListParagraph"/>
        <w:numPr>
          <w:ilvl w:val="0"/>
          <w:numId w:val="18"/>
        </w:numPr>
        <w:spacing w:after="200" w:line="300" w:lineRule="auto"/>
      </w:pPr>
      <w:r w:rsidRPr="00C45C24">
        <w:t>Affordability</w:t>
      </w:r>
    </w:p>
    <w:p w14:paraId="610BAB20" w14:textId="77777777" w:rsidR="00473BFB" w:rsidRPr="00C45C24" w:rsidRDefault="00473BFB" w:rsidP="00473BFB">
      <w:pPr>
        <w:pStyle w:val="ListParagraph"/>
        <w:numPr>
          <w:ilvl w:val="0"/>
          <w:numId w:val="18"/>
        </w:numPr>
        <w:spacing w:after="200" w:line="300" w:lineRule="auto"/>
      </w:pPr>
      <w:r w:rsidRPr="00C45C24">
        <w:t>Student supports</w:t>
      </w:r>
    </w:p>
    <w:p w14:paraId="17B0CF7B" w14:textId="77777777" w:rsidR="00473BFB" w:rsidRPr="00C45C24" w:rsidRDefault="00473BFB" w:rsidP="00473BFB">
      <w:pPr>
        <w:pStyle w:val="ListParagraph"/>
        <w:numPr>
          <w:ilvl w:val="0"/>
          <w:numId w:val="18"/>
        </w:numPr>
        <w:spacing w:after="200" w:line="300" w:lineRule="auto"/>
      </w:pPr>
      <w:r w:rsidRPr="00C45C24">
        <w:t xml:space="preserve">Planning and evaluation </w:t>
      </w:r>
    </w:p>
    <w:p w14:paraId="751467E3" w14:textId="50B872E9" w:rsidR="00473BFB" w:rsidRPr="00C45C24" w:rsidRDefault="00473BFB" w:rsidP="00473BFB">
      <w:r w:rsidRPr="00820FDF">
        <w:rPr>
          <w:rStyle w:val="Strong"/>
          <w:rFonts w:asciiTheme="minorHAnsi" w:hAnsiTheme="minorHAnsi" w:cstheme="minorHAnsi"/>
          <w:color w:val="auto"/>
        </w:rPr>
        <w:t xml:space="preserve">For each </w:t>
      </w:r>
      <w:r w:rsidR="00D9056F" w:rsidRPr="00820FDF">
        <w:rPr>
          <w:rStyle w:val="Strong"/>
          <w:rFonts w:asciiTheme="minorHAnsi" w:hAnsiTheme="minorHAnsi" w:cstheme="minorHAnsi"/>
          <w:color w:val="auto"/>
        </w:rPr>
        <w:t>institutional strategy</w:t>
      </w:r>
      <w:r w:rsidR="00437231" w:rsidRPr="00820FDF">
        <w:rPr>
          <w:rStyle w:val="Strong"/>
          <w:rFonts w:asciiTheme="minorHAnsi" w:hAnsiTheme="minorHAnsi" w:cstheme="minorHAnsi"/>
          <w:color w:val="auto"/>
        </w:rPr>
        <w:t xml:space="preserve"> listed</w:t>
      </w:r>
      <w:r w:rsidRPr="00D9056F">
        <w:rPr>
          <w:rStyle w:val="Strong"/>
          <w:color w:val="auto"/>
        </w:rPr>
        <w:t>,</w:t>
      </w:r>
      <w:r w:rsidRPr="00D9056F">
        <w:t xml:space="preserve"> </w:t>
      </w:r>
      <w:r w:rsidRPr="00C45C24">
        <w:t>indicate whether your campus offers that type of support</w:t>
      </w:r>
      <w:r w:rsidR="005E6863">
        <w:t xml:space="preserve">.  If yes, </w:t>
      </w:r>
      <w:r w:rsidRPr="00C45C24">
        <w:t xml:space="preserve">provide a description and web </w:t>
      </w:r>
      <w:r w:rsidR="00D9056F">
        <w:t>link</w:t>
      </w:r>
      <w:r w:rsidR="005E6863">
        <w:t>.</w:t>
      </w:r>
      <w:r w:rsidRPr="00C45C24">
        <w:t xml:space="preserve"> </w:t>
      </w:r>
    </w:p>
    <w:p w14:paraId="2AE2773D" w14:textId="77777777" w:rsidR="00473BFB" w:rsidRPr="00C45C24" w:rsidRDefault="00473BFB" w:rsidP="00473BFB">
      <w:r w:rsidRPr="00820FDF">
        <w:rPr>
          <w:rStyle w:val="Strong"/>
          <w:rFonts w:asciiTheme="minorHAnsi" w:hAnsiTheme="minorHAnsi" w:cstheme="minorHAnsi"/>
          <w:color w:val="auto"/>
        </w:rPr>
        <w:t>For each focus area</w:t>
      </w:r>
      <w:r w:rsidRPr="00820FDF">
        <w:rPr>
          <w:rFonts w:cstheme="minorHAnsi"/>
        </w:rPr>
        <w:t>,</w:t>
      </w:r>
      <w:r w:rsidRPr="00D9056F">
        <w:t xml:space="preserve"> </w:t>
      </w:r>
      <w:r w:rsidRPr="00C45C24">
        <w:t>share reflections of your institution’s strengths and challenges related to each focus area for adult learners, as well as any areas of planned research or changes.</w:t>
      </w:r>
    </w:p>
    <w:p w14:paraId="72D1D3F6" w14:textId="2F313025" w:rsidR="00D9056F" w:rsidRDefault="00820FDF" w:rsidP="00820FDF">
      <w:r w:rsidRPr="00820FDF">
        <w:rPr>
          <w:b/>
        </w:rPr>
        <w:t xml:space="preserve">The Self-Assessment worksheets include all of the questions in the online Self-Assessment </w:t>
      </w:r>
      <w:r w:rsidR="00291646">
        <w:rPr>
          <w:b/>
        </w:rPr>
        <w:t xml:space="preserve">part of </w:t>
      </w:r>
      <w:r w:rsidRPr="00820FDF">
        <w:rPr>
          <w:b/>
        </w:rPr>
        <w:t>Survey 1.</w:t>
      </w:r>
    </w:p>
    <w:p w14:paraId="5FE702F5" w14:textId="77777777" w:rsidR="00D9056F" w:rsidRDefault="00D9056F" w:rsidP="00473BFB">
      <w:pPr>
        <w:pStyle w:val="Heading2"/>
      </w:pPr>
    </w:p>
    <w:p w14:paraId="3370D834" w14:textId="5C48CCA8" w:rsidR="00D9056F" w:rsidRDefault="00D9056F" w:rsidP="00473BFB">
      <w:pPr>
        <w:pStyle w:val="Heading2"/>
      </w:pPr>
    </w:p>
    <w:p w14:paraId="6FE03659" w14:textId="77777777" w:rsidR="00D9056F" w:rsidRPr="00D9056F" w:rsidRDefault="00D9056F" w:rsidP="00D9056F"/>
    <w:p w14:paraId="4D0517BB" w14:textId="2C96A2A6" w:rsidR="00473BFB" w:rsidRPr="00C45C24" w:rsidRDefault="005E6863" w:rsidP="00473BFB">
      <w:pPr>
        <w:pStyle w:val="Heading2"/>
      </w:pPr>
      <w:r>
        <w:lastRenderedPageBreak/>
        <w:t xml:space="preserve">Worksheet for </w:t>
      </w:r>
      <w:r w:rsidR="00473BFB" w:rsidRPr="00C45C24">
        <w:t>Focus Area 1: Admissions and Enrollment</w:t>
      </w:r>
    </w:p>
    <w:p w14:paraId="576C4017" w14:textId="77777777" w:rsidR="00473BFB" w:rsidRPr="00C45C24" w:rsidRDefault="00473BFB" w:rsidP="00473BFB">
      <w:pPr>
        <w:pStyle w:val="Heading3"/>
      </w:pPr>
      <w:r w:rsidRPr="00C45C24">
        <w:t>Adult Learner Needs</w:t>
      </w:r>
    </w:p>
    <w:p w14:paraId="6EE3A66B" w14:textId="77777777" w:rsidR="00473BFB" w:rsidRPr="00C45C24" w:rsidRDefault="00473BFB" w:rsidP="00473BFB">
      <w:pPr>
        <w:pStyle w:val="ListParagraph"/>
        <w:numPr>
          <w:ilvl w:val="0"/>
          <w:numId w:val="2"/>
        </w:numPr>
        <w:spacing w:after="200" w:line="300" w:lineRule="auto"/>
      </w:pPr>
      <w:r w:rsidRPr="00C45C24">
        <w:t>Clear information regarding admissions policies for returning students.</w:t>
      </w:r>
    </w:p>
    <w:p w14:paraId="2E743E93" w14:textId="77777777" w:rsidR="00473BFB" w:rsidRPr="00C45C24" w:rsidRDefault="00473BFB" w:rsidP="00473BFB">
      <w:pPr>
        <w:pStyle w:val="ListParagraph"/>
        <w:numPr>
          <w:ilvl w:val="0"/>
          <w:numId w:val="2"/>
        </w:numPr>
        <w:spacing w:after="200" w:line="300" w:lineRule="auto"/>
      </w:pPr>
      <w:r w:rsidRPr="00C45C24">
        <w:t>Readily available information regarding program delivery, time-to-completion.</w:t>
      </w:r>
    </w:p>
    <w:p w14:paraId="3C914FDD" w14:textId="77777777" w:rsidR="00473BFB" w:rsidRPr="00C45C24" w:rsidRDefault="00473BFB" w:rsidP="00473BFB">
      <w:pPr>
        <w:pStyle w:val="ListParagraph"/>
        <w:numPr>
          <w:ilvl w:val="0"/>
          <w:numId w:val="2"/>
        </w:numPr>
        <w:spacing w:after="200" w:line="300" w:lineRule="auto"/>
      </w:pPr>
      <w:r w:rsidRPr="00C45C24">
        <w:t>Support to address issues from past enrollment.</w:t>
      </w:r>
    </w:p>
    <w:p w14:paraId="2DB1AF8C" w14:textId="77777777" w:rsidR="00473BFB" w:rsidRPr="00C45C24" w:rsidRDefault="00473BFB" w:rsidP="00473BFB">
      <w:pPr>
        <w:pStyle w:val="Heading3"/>
      </w:pPr>
      <w:r w:rsidRPr="00C45C24">
        <w:t>Institutional Strategies</w:t>
      </w:r>
    </w:p>
    <w:p w14:paraId="14A854AB" w14:textId="77777777" w:rsidR="00473BFB" w:rsidRPr="00C45C24" w:rsidRDefault="00473BFB" w:rsidP="00473BFB">
      <w:pPr>
        <w:pStyle w:val="ListParagraph"/>
        <w:numPr>
          <w:ilvl w:val="0"/>
          <w:numId w:val="3"/>
        </w:numPr>
        <w:spacing w:after="200" w:line="300" w:lineRule="auto"/>
      </w:pPr>
      <w:r w:rsidRPr="00C45C24">
        <w:t>Readily available admissions information about requirements for returning, transfer, and adult students, including cumulative GPA, assessment, and other requirements.</w:t>
      </w:r>
    </w:p>
    <w:p w14:paraId="18C4F08D" w14:textId="77777777" w:rsidR="00473BFB" w:rsidRPr="00C45C24" w:rsidRDefault="00473BFB" w:rsidP="00473BFB">
      <w:pPr>
        <w:pStyle w:val="ListParagraph"/>
        <w:numPr>
          <w:ilvl w:val="0"/>
          <w:numId w:val="3"/>
        </w:numPr>
        <w:spacing w:after="200" w:line="300" w:lineRule="auto"/>
      </w:pPr>
      <w:r w:rsidRPr="00C45C24">
        <w:t>A policy on fees or holds from prior enrollment with your institution.</w:t>
      </w:r>
    </w:p>
    <w:p w14:paraId="564D0F30" w14:textId="77777777" w:rsidR="00473BFB" w:rsidRPr="00C45C24" w:rsidRDefault="00473BFB" w:rsidP="00473BFB">
      <w:pPr>
        <w:pStyle w:val="ListParagraph"/>
        <w:numPr>
          <w:ilvl w:val="0"/>
          <w:numId w:val="3"/>
        </w:numPr>
        <w:spacing w:after="200" w:line="300" w:lineRule="auto"/>
      </w:pPr>
      <w:r w:rsidRPr="00C45C24">
        <w:t>A preliminary review of transcripts to provide early time-to-completion information.</w:t>
      </w:r>
    </w:p>
    <w:p w14:paraId="654C8697" w14:textId="77777777" w:rsidR="00473BFB" w:rsidRPr="00C45C24" w:rsidRDefault="00473BFB" w:rsidP="00473BFB">
      <w:pPr>
        <w:pStyle w:val="ListParagraph"/>
        <w:numPr>
          <w:ilvl w:val="0"/>
          <w:numId w:val="3"/>
        </w:numPr>
        <w:spacing w:after="200" w:line="300" w:lineRule="auto"/>
      </w:pPr>
      <w:r w:rsidRPr="00C45C24">
        <w:t>Policy for reenrolling students who have past issues with your institution related to grades or Satisfactory Academic Progress.</w:t>
      </w:r>
    </w:p>
    <w:p w14:paraId="43D44D1C" w14:textId="77777777" w:rsidR="00473BFB" w:rsidRPr="00C45C24" w:rsidRDefault="00473BFB" w:rsidP="00473BFB">
      <w:pPr>
        <w:pStyle w:val="ListParagraph"/>
        <w:numPr>
          <w:ilvl w:val="0"/>
          <w:numId w:val="3"/>
        </w:numPr>
        <w:spacing w:after="200" w:line="300" w:lineRule="auto"/>
      </w:pPr>
      <w:r w:rsidRPr="00C45C24">
        <w:t>Recruitment materials, imagery and resource information that target adult learners.</w:t>
      </w:r>
    </w:p>
    <w:p w14:paraId="429F077C" w14:textId="77777777" w:rsidR="00473BFB" w:rsidRPr="00C45C24" w:rsidRDefault="00473BFB" w:rsidP="00473BFB">
      <w:pPr>
        <w:pStyle w:val="ListParagraph"/>
        <w:numPr>
          <w:ilvl w:val="0"/>
          <w:numId w:val="3"/>
        </w:numPr>
        <w:spacing w:after="200" w:line="300" w:lineRule="auto"/>
      </w:pPr>
      <w:r w:rsidRPr="00C45C24">
        <w:t>Other strategies for admissions and enrollment that are supportive of adult learners’ needs.</w:t>
      </w:r>
    </w:p>
    <w:p w14:paraId="69EEF17E" w14:textId="77777777" w:rsidR="00473BFB" w:rsidRPr="00C45C24" w:rsidRDefault="00473BFB" w:rsidP="00473BFB">
      <w:pPr>
        <w:pStyle w:val="Heading3"/>
      </w:pPr>
      <w:r w:rsidRPr="00C45C24">
        <w:t>Reflection</w:t>
      </w:r>
    </w:p>
    <w:p w14:paraId="0EB359A0" w14:textId="77777777" w:rsidR="00473BFB" w:rsidRPr="00C45C24" w:rsidRDefault="00473BFB" w:rsidP="00473BFB">
      <w:pPr>
        <w:pStyle w:val="ListParagraph"/>
        <w:numPr>
          <w:ilvl w:val="0"/>
          <w:numId w:val="4"/>
        </w:numPr>
        <w:spacing w:after="200" w:line="300" w:lineRule="auto"/>
      </w:pPr>
      <w:r w:rsidRPr="00C45C24">
        <w:t>Describe your institution’s current strengths in serving adult learners in this focus area, including any subpopulations (ex. Veterans, parents, etc.).</w:t>
      </w:r>
    </w:p>
    <w:p w14:paraId="1182035A" w14:textId="77777777" w:rsidR="00473BFB" w:rsidRPr="00C45C24" w:rsidRDefault="00473BFB" w:rsidP="00473BFB">
      <w:pPr>
        <w:pStyle w:val="ListParagraph"/>
        <w:numPr>
          <w:ilvl w:val="0"/>
          <w:numId w:val="4"/>
        </w:numPr>
        <w:spacing w:after="200" w:line="300" w:lineRule="auto"/>
      </w:pPr>
      <w:r w:rsidRPr="00C45C24">
        <w:t>Describe any challenges or gaps in serving adult learners in this focus area.</w:t>
      </w:r>
    </w:p>
    <w:p w14:paraId="43C75E53" w14:textId="77777777" w:rsidR="00473BFB" w:rsidRPr="00C45C24" w:rsidRDefault="00473BFB" w:rsidP="00473BFB">
      <w:pPr>
        <w:pStyle w:val="ListParagraph"/>
        <w:numPr>
          <w:ilvl w:val="0"/>
          <w:numId w:val="4"/>
        </w:numPr>
        <w:spacing w:after="200" w:line="300" w:lineRule="auto"/>
      </w:pPr>
      <w:r w:rsidRPr="00C45C24">
        <w:t>Describe any areas of planned research or development for the next year in this focus area.</w:t>
      </w:r>
    </w:p>
    <w:p w14:paraId="2AA5ACA9" w14:textId="77777777" w:rsidR="005E6863" w:rsidRDefault="005E6863" w:rsidP="00473BFB">
      <w:pPr>
        <w:pStyle w:val="Heading2"/>
      </w:pPr>
    </w:p>
    <w:p w14:paraId="527A6CB2" w14:textId="41F2221A" w:rsidR="00473BFB" w:rsidRPr="00C45C24" w:rsidRDefault="005E6863" w:rsidP="00473BFB">
      <w:pPr>
        <w:pStyle w:val="Heading2"/>
      </w:pPr>
      <w:r>
        <w:t xml:space="preserve">Worksheet for </w:t>
      </w:r>
      <w:r w:rsidR="00473BFB" w:rsidRPr="00C45C24">
        <w:t>Focus Area 2: Educational Programs</w:t>
      </w:r>
    </w:p>
    <w:p w14:paraId="3DA8BAA3" w14:textId="77777777" w:rsidR="00473BFB" w:rsidRPr="00C45C24" w:rsidRDefault="00473BFB" w:rsidP="00473BFB">
      <w:pPr>
        <w:pStyle w:val="Heading3"/>
      </w:pPr>
      <w:r w:rsidRPr="00C45C24">
        <w:t xml:space="preserve">Adult Learner Needs </w:t>
      </w:r>
    </w:p>
    <w:p w14:paraId="0D0CCE1E" w14:textId="77777777" w:rsidR="00473BFB" w:rsidRPr="00C45C24" w:rsidRDefault="00473BFB" w:rsidP="00473BFB">
      <w:pPr>
        <w:pStyle w:val="ListParagraph"/>
        <w:numPr>
          <w:ilvl w:val="0"/>
          <w:numId w:val="5"/>
        </w:numPr>
        <w:spacing w:after="200" w:line="300" w:lineRule="auto"/>
      </w:pPr>
      <w:r w:rsidRPr="00C45C24">
        <w:t>Balance work and family schedule</w:t>
      </w:r>
    </w:p>
    <w:p w14:paraId="3F4C12A4" w14:textId="77777777" w:rsidR="00473BFB" w:rsidRPr="00C45C24" w:rsidRDefault="00473BFB" w:rsidP="00473BFB">
      <w:pPr>
        <w:pStyle w:val="ListParagraph"/>
        <w:numPr>
          <w:ilvl w:val="0"/>
          <w:numId w:val="5"/>
        </w:numPr>
        <w:spacing w:after="200" w:line="300" w:lineRule="auto"/>
      </w:pPr>
      <w:r w:rsidRPr="00C45C24">
        <w:t>Efficient time-to-completion plan</w:t>
      </w:r>
    </w:p>
    <w:p w14:paraId="6473EAD4" w14:textId="77777777" w:rsidR="00473BFB" w:rsidRPr="00C45C24" w:rsidRDefault="00473BFB" w:rsidP="00473BFB">
      <w:pPr>
        <w:pStyle w:val="ListParagraph"/>
        <w:numPr>
          <w:ilvl w:val="0"/>
          <w:numId w:val="5"/>
        </w:numPr>
        <w:spacing w:after="200" w:line="300" w:lineRule="auto"/>
      </w:pPr>
      <w:r w:rsidRPr="00C45C24">
        <w:t>Credit for prior learning</w:t>
      </w:r>
    </w:p>
    <w:p w14:paraId="4E04AB45" w14:textId="77777777" w:rsidR="00473BFB" w:rsidRPr="00C45C24" w:rsidRDefault="00473BFB" w:rsidP="00473BFB">
      <w:pPr>
        <w:pStyle w:val="Heading3"/>
      </w:pPr>
      <w:r w:rsidRPr="00C45C24">
        <w:t xml:space="preserve">Institutional Strategies </w:t>
      </w:r>
    </w:p>
    <w:p w14:paraId="242B5142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t>Flexible program delivery and course scheduling options (ex. Online/hybrid programs; evening and/or weekend classes; predictable schedule through length of program).</w:t>
      </w:r>
    </w:p>
    <w:p w14:paraId="2CD906A0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t>Partnerships with employers or workforce agencies to increase flexibility and access to educational programs (ex. Workplace-based classes or cohorts, employer training crosswalks for academic credit)</w:t>
      </w:r>
    </w:p>
    <w:p w14:paraId="1CE00411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t>Transparent and accessible transfer policies with staff support.</w:t>
      </w:r>
    </w:p>
    <w:p w14:paraId="5908AEC8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t xml:space="preserve">Readily available information and advising on academic credit for prior learning policies and procedures. </w:t>
      </w:r>
    </w:p>
    <w:p w14:paraId="3D2607BF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t>Accelerated program options.</w:t>
      </w:r>
    </w:p>
    <w:p w14:paraId="77040319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t>Program options designed to facilitate degree completion for transferring adults, with fewer degree-specific required classes (ex. General studies or “completion degrees.”)</w:t>
      </w:r>
    </w:p>
    <w:p w14:paraId="6FF7D8AE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lastRenderedPageBreak/>
        <w:t>Stackable or latticed career pathway options within your institution or in partnership with other institutions.</w:t>
      </w:r>
    </w:p>
    <w:p w14:paraId="12407C22" w14:textId="77777777" w:rsidR="00473BFB" w:rsidRPr="00C45C24" w:rsidRDefault="00473BFB" w:rsidP="00473BFB">
      <w:pPr>
        <w:pStyle w:val="ListParagraph"/>
        <w:numPr>
          <w:ilvl w:val="0"/>
          <w:numId w:val="6"/>
        </w:numPr>
        <w:spacing w:after="200" w:line="300" w:lineRule="auto"/>
      </w:pPr>
      <w:r w:rsidRPr="00C45C24">
        <w:t>Other educational program strategies supportive of adult learner needs?</w:t>
      </w:r>
    </w:p>
    <w:p w14:paraId="4EE6CDA3" w14:textId="77777777" w:rsidR="00473BFB" w:rsidRPr="00C45C24" w:rsidRDefault="00473BFB" w:rsidP="00473BFB">
      <w:pPr>
        <w:pStyle w:val="Heading3"/>
      </w:pPr>
      <w:r w:rsidRPr="00C45C24">
        <w:t>Reflection</w:t>
      </w:r>
    </w:p>
    <w:p w14:paraId="076BC348" w14:textId="77777777" w:rsidR="00473BFB" w:rsidRPr="00C45C24" w:rsidRDefault="00473BFB" w:rsidP="00473BFB">
      <w:pPr>
        <w:pStyle w:val="ListParagraph"/>
        <w:numPr>
          <w:ilvl w:val="0"/>
          <w:numId w:val="7"/>
        </w:numPr>
        <w:spacing w:after="200" w:line="300" w:lineRule="auto"/>
      </w:pPr>
      <w:r w:rsidRPr="00C45C24">
        <w:t>Describe your institution’s current strengths in serving adult learners in this focus area.</w:t>
      </w:r>
    </w:p>
    <w:p w14:paraId="4C2F4532" w14:textId="77777777" w:rsidR="00473BFB" w:rsidRPr="00C45C24" w:rsidRDefault="00473BFB" w:rsidP="00473BFB">
      <w:pPr>
        <w:pStyle w:val="ListParagraph"/>
        <w:numPr>
          <w:ilvl w:val="0"/>
          <w:numId w:val="7"/>
        </w:numPr>
        <w:spacing w:after="200" w:line="300" w:lineRule="auto"/>
      </w:pPr>
      <w:r w:rsidRPr="00C45C24">
        <w:t xml:space="preserve">Describe any challenges or gaps in serving adult learners in this focus area. </w:t>
      </w:r>
    </w:p>
    <w:p w14:paraId="4C7E772A" w14:textId="77777777" w:rsidR="00473BFB" w:rsidRPr="00C45C24" w:rsidRDefault="00473BFB" w:rsidP="00473BFB">
      <w:pPr>
        <w:pStyle w:val="ListParagraph"/>
        <w:numPr>
          <w:ilvl w:val="0"/>
          <w:numId w:val="7"/>
        </w:numPr>
        <w:spacing w:after="200" w:line="300" w:lineRule="auto"/>
      </w:pPr>
      <w:r w:rsidRPr="00C45C24">
        <w:t>Describe any areas of planned research or development for the next year in this focus area.</w:t>
      </w:r>
    </w:p>
    <w:p w14:paraId="7B0EFA43" w14:textId="1C7FEEC2" w:rsidR="005E6863" w:rsidRDefault="005E6863" w:rsidP="00473BFB">
      <w:pPr>
        <w:pStyle w:val="Heading2"/>
      </w:pPr>
    </w:p>
    <w:p w14:paraId="2AAE6498" w14:textId="1ECEBC92" w:rsidR="00473BFB" w:rsidRPr="00C45C24" w:rsidRDefault="005E6863" w:rsidP="00473BFB">
      <w:pPr>
        <w:pStyle w:val="Heading2"/>
      </w:pPr>
      <w:r>
        <w:t xml:space="preserve">Worksheet for </w:t>
      </w:r>
      <w:r w:rsidR="00473BFB" w:rsidRPr="00C45C24">
        <w:t>Focus Area 3: Affordability</w:t>
      </w:r>
    </w:p>
    <w:p w14:paraId="7F55E8FE" w14:textId="77777777" w:rsidR="00473BFB" w:rsidRPr="00C45C24" w:rsidRDefault="00473BFB" w:rsidP="00473BFB">
      <w:pPr>
        <w:pStyle w:val="Heading3"/>
      </w:pPr>
      <w:r w:rsidRPr="00C45C24">
        <w:t xml:space="preserve">Adult Learner Needs </w:t>
      </w:r>
    </w:p>
    <w:p w14:paraId="1DD846F2" w14:textId="77777777" w:rsidR="00473BFB" w:rsidRPr="00C45C24" w:rsidRDefault="00473BFB" w:rsidP="00473BFB">
      <w:pPr>
        <w:pStyle w:val="ListParagraph"/>
        <w:numPr>
          <w:ilvl w:val="0"/>
          <w:numId w:val="10"/>
        </w:numPr>
        <w:spacing w:after="200" w:line="300" w:lineRule="auto"/>
      </w:pPr>
      <w:r w:rsidRPr="00C45C24">
        <w:t>Navigate financial assistance</w:t>
      </w:r>
    </w:p>
    <w:p w14:paraId="0D267055" w14:textId="77777777" w:rsidR="00473BFB" w:rsidRPr="00C45C24" w:rsidRDefault="00473BFB" w:rsidP="00473BFB">
      <w:pPr>
        <w:pStyle w:val="ListParagraph"/>
        <w:numPr>
          <w:ilvl w:val="0"/>
          <w:numId w:val="9"/>
        </w:numPr>
        <w:spacing w:after="200" w:line="300" w:lineRule="auto"/>
      </w:pPr>
      <w:r w:rsidRPr="00C45C24">
        <w:t xml:space="preserve">Address past financial aid issues </w:t>
      </w:r>
    </w:p>
    <w:p w14:paraId="16B02C1F" w14:textId="77777777" w:rsidR="00473BFB" w:rsidRPr="00C45C24" w:rsidRDefault="00473BFB" w:rsidP="00473BFB">
      <w:pPr>
        <w:pStyle w:val="ListParagraph"/>
        <w:numPr>
          <w:ilvl w:val="0"/>
          <w:numId w:val="9"/>
        </w:numPr>
        <w:spacing w:after="200" w:line="300" w:lineRule="auto"/>
      </w:pPr>
      <w:r w:rsidRPr="00C45C24">
        <w:t>Coordinated support across programs</w:t>
      </w:r>
    </w:p>
    <w:p w14:paraId="7F99606C" w14:textId="77777777" w:rsidR="00473BFB" w:rsidRPr="00C45C24" w:rsidRDefault="00473BFB" w:rsidP="00473BFB">
      <w:pPr>
        <w:pStyle w:val="ListParagraph"/>
        <w:numPr>
          <w:ilvl w:val="0"/>
          <w:numId w:val="9"/>
        </w:numPr>
        <w:spacing w:after="200" w:line="300" w:lineRule="auto"/>
      </w:pPr>
      <w:r w:rsidRPr="00C45C24">
        <w:t>Support with unexpected expenses</w:t>
      </w:r>
    </w:p>
    <w:p w14:paraId="3A151428" w14:textId="77777777" w:rsidR="00473BFB" w:rsidRPr="00C45C24" w:rsidRDefault="00473BFB" w:rsidP="00473BFB">
      <w:pPr>
        <w:pStyle w:val="Heading3"/>
      </w:pPr>
      <w:r w:rsidRPr="00C45C24">
        <w:t xml:space="preserve">Institutional Strategies </w:t>
      </w:r>
    </w:p>
    <w:p w14:paraId="55B3255C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Adult-focused promotion and/or completion support of FAFSA/WASFA.</w:t>
      </w:r>
    </w:p>
    <w:p w14:paraId="54AD2AAA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Promotion of financial aid reevaluation opportunity if students have recently become unemployed, independent, homeless, etc.</w:t>
      </w:r>
    </w:p>
    <w:p w14:paraId="124A9959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Funding set-aside for late applicants or mid-year admits.</w:t>
      </w:r>
    </w:p>
    <w:p w14:paraId="52E999C9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Institutional aid or scholarships focused on adult learners or transfer students (ex. "finish line" scholarships or prioritizing aid to students close to completion).</w:t>
      </w:r>
    </w:p>
    <w:p w14:paraId="66BDA589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Loan counseling targeted to former borrowers.</w:t>
      </w:r>
    </w:p>
    <w:p w14:paraId="148459BB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Promotion and assistance with the financial aid reinstatement appeal process.</w:t>
      </w:r>
    </w:p>
    <w:p w14:paraId="3473100F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Advising and support for those with financial aid repayments or defaults.</w:t>
      </w:r>
    </w:p>
    <w:p w14:paraId="3D3BE0F9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Promotion and coordination of funding options or other financial benefits (i.e. workforce programs, public benefits, etc.).</w:t>
      </w:r>
    </w:p>
    <w:p w14:paraId="3D327BE9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Childcare cost supports.</w:t>
      </w:r>
    </w:p>
    <w:p w14:paraId="54C8701C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Food insecurity supports or partnerships.</w:t>
      </w:r>
    </w:p>
    <w:p w14:paraId="2881D38A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Housing insecurity or homelessness supports or partnerships.</w:t>
      </w:r>
    </w:p>
    <w:p w14:paraId="179D2828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Low-barrier emergency funds for adult students facing unexpected financial issues.</w:t>
      </w:r>
    </w:p>
    <w:p w14:paraId="031A43E7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Adult-appropriate financial coaching or similar resources.</w:t>
      </w:r>
    </w:p>
    <w:p w14:paraId="21AB9F54" w14:textId="77777777" w:rsidR="00473BFB" w:rsidRPr="00C45C24" w:rsidRDefault="00473BFB" w:rsidP="00473BFB">
      <w:pPr>
        <w:pStyle w:val="ListParagraph"/>
        <w:numPr>
          <w:ilvl w:val="0"/>
          <w:numId w:val="8"/>
        </w:numPr>
        <w:spacing w:after="200" w:line="300" w:lineRule="auto"/>
      </w:pPr>
      <w:r w:rsidRPr="00C45C24">
        <w:t>Other affordability strategies that are supportive of adult learners’ needs?</w:t>
      </w:r>
    </w:p>
    <w:p w14:paraId="500C2C03" w14:textId="77777777" w:rsidR="00473BFB" w:rsidRPr="00C45C24" w:rsidRDefault="00473BFB" w:rsidP="00473BFB">
      <w:pPr>
        <w:pStyle w:val="Heading3"/>
      </w:pPr>
      <w:r w:rsidRPr="00C45C24">
        <w:t xml:space="preserve">Reflection </w:t>
      </w:r>
    </w:p>
    <w:p w14:paraId="7E015F67" w14:textId="77777777" w:rsidR="00473BFB" w:rsidRPr="00C45C24" w:rsidRDefault="00473BFB" w:rsidP="00473BFB">
      <w:pPr>
        <w:pStyle w:val="ListParagraph"/>
        <w:numPr>
          <w:ilvl w:val="0"/>
          <w:numId w:val="11"/>
        </w:numPr>
        <w:spacing w:after="200" w:line="300" w:lineRule="auto"/>
      </w:pPr>
      <w:r w:rsidRPr="00C45C24">
        <w:t>Describe your institution’s current strengths in serving adult learners in this focus area.</w:t>
      </w:r>
    </w:p>
    <w:p w14:paraId="15B5FD57" w14:textId="77777777" w:rsidR="00473BFB" w:rsidRPr="00C45C24" w:rsidRDefault="00473BFB" w:rsidP="00473BFB">
      <w:pPr>
        <w:pStyle w:val="ListParagraph"/>
        <w:numPr>
          <w:ilvl w:val="0"/>
          <w:numId w:val="11"/>
        </w:numPr>
        <w:spacing w:after="200" w:line="300" w:lineRule="auto"/>
      </w:pPr>
      <w:r w:rsidRPr="00C45C24">
        <w:t>Describe any challenges or gaps in serving adult learners in this focus area.</w:t>
      </w:r>
    </w:p>
    <w:p w14:paraId="01C49D18" w14:textId="77777777" w:rsidR="00473BFB" w:rsidRPr="00C45C24" w:rsidRDefault="00473BFB" w:rsidP="00473BFB">
      <w:pPr>
        <w:pStyle w:val="ListParagraph"/>
        <w:numPr>
          <w:ilvl w:val="0"/>
          <w:numId w:val="11"/>
        </w:numPr>
        <w:spacing w:after="200" w:line="300" w:lineRule="auto"/>
      </w:pPr>
      <w:r w:rsidRPr="00C45C24">
        <w:t xml:space="preserve">Describe any areas of planned research or development for the next year in this focus area. </w:t>
      </w:r>
    </w:p>
    <w:p w14:paraId="6ECB54D1" w14:textId="16D17BD9" w:rsidR="00473BFB" w:rsidRPr="00C45C24" w:rsidRDefault="005E6863" w:rsidP="00473BFB">
      <w:pPr>
        <w:pStyle w:val="Heading2"/>
      </w:pPr>
      <w:r>
        <w:lastRenderedPageBreak/>
        <w:t xml:space="preserve">Worksheet for </w:t>
      </w:r>
      <w:r w:rsidR="00473BFB" w:rsidRPr="00C45C24">
        <w:t>Focus Area 4: Student Supports</w:t>
      </w:r>
    </w:p>
    <w:p w14:paraId="0981D17D" w14:textId="77777777" w:rsidR="00473BFB" w:rsidRPr="00C45C24" w:rsidRDefault="00473BFB" w:rsidP="00473BFB">
      <w:pPr>
        <w:pStyle w:val="Heading3"/>
      </w:pPr>
      <w:r w:rsidRPr="00C45C24">
        <w:t xml:space="preserve">Adult Learner Needs </w:t>
      </w:r>
    </w:p>
    <w:p w14:paraId="544E60AE" w14:textId="77777777" w:rsidR="00473BFB" w:rsidRPr="00C45C24" w:rsidRDefault="00473BFB" w:rsidP="00473BFB">
      <w:pPr>
        <w:pStyle w:val="ListParagraph"/>
        <w:numPr>
          <w:ilvl w:val="0"/>
          <w:numId w:val="12"/>
        </w:numPr>
        <w:spacing w:after="200" w:line="300" w:lineRule="auto"/>
      </w:pPr>
      <w:r w:rsidRPr="00C45C24">
        <w:t>Help with navigating college</w:t>
      </w:r>
    </w:p>
    <w:p w14:paraId="5DDFDCDC" w14:textId="77777777" w:rsidR="00473BFB" w:rsidRPr="00C45C24" w:rsidRDefault="00473BFB" w:rsidP="00473BFB">
      <w:pPr>
        <w:pStyle w:val="ListParagraph"/>
        <w:numPr>
          <w:ilvl w:val="0"/>
          <w:numId w:val="12"/>
        </w:numPr>
        <w:spacing w:after="200" w:line="300" w:lineRule="auto"/>
      </w:pPr>
      <w:r w:rsidRPr="00C45C24">
        <w:t>Flexible support service schedules</w:t>
      </w:r>
    </w:p>
    <w:p w14:paraId="7028C21B" w14:textId="77777777" w:rsidR="00473BFB" w:rsidRPr="00C45C24" w:rsidRDefault="00473BFB" w:rsidP="00473BFB">
      <w:pPr>
        <w:pStyle w:val="ListParagraph"/>
        <w:numPr>
          <w:ilvl w:val="0"/>
          <w:numId w:val="12"/>
        </w:numPr>
        <w:spacing w:after="200" w:line="300" w:lineRule="auto"/>
      </w:pPr>
      <w:r w:rsidRPr="00C45C24">
        <w:t>Career development</w:t>
      </w:r>
    </w:p>
    <w:p w14:paraId="66AB6C02" w14:textId="77777777" w:rsidR="00473BFB" w:rsidRPr="00C45C24" w:rsidRDefault="00473BFB" w:rsidP="00473BFB">
      <w:pPr>
        <w:pStyle w:val="ListParagraph"/>
        <w:numPr>
          <w:ilvl w:val="0"/>
          <w:numId w:val="12"/>
        </w:numPr>
        <w:spacing w:after="200" w:line="300" w:lineRule="auto"/>
      </w:pPr>
      <w:r w:rsidRPr="00C45C24">
        <w:t>Sense of belonging</w:t>
      </w:r>
    </w:p>
    <w:p w14:paraId="595B7FA3" w14:textId="77777777" w:rsidR="00473BFB" w:rsidRPr="00C45C24" w:rsidRDefault="00473BFB" w:rsidP="00473BFB">
      <w:pPr>
        <w:pStyle w:val="Heading3"/>
      </w:pPr>
      <w:r w:rsidRPr="00C45C24">
        <w:t xml:space="preserve">Institutional Strategies </w:t>
      </w:r>
    </w:p>
    <w:p w14:paraId="263C742C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Adult-appropriate orientation for newly admitted students.</w:t>
      </w:r>
    </w:p>
    <w:p w14:paraId="78417B4C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Flexible schedules for in-person advising, tutoring, success coaching, career and other support services.</w:t>
      </w:r>
    </w:p>
    <w:p w14:paraId="0323FF1C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Online options for advising, tutoring, career and other support services.</w:t>
      </w:r>
    </w:p>
    <w:p w14:paraId="16FE8940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Partnership with employers and community organizations to create and improve career development and opportunities for adult learners.</w:t>
      </w:r>
    </w:p>
    <w:p w14:paraId="3DE418F2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On-campus childcare or strong partnership with childcare providers for access and availability.</w:t>
      </w:r>
    </w:p>
    <w:p w14:paraId="729DCB56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Adult learner-focused peer support opportunities.</w:t>
      </w:r>
    </w:p>
    <w:p w14:paraId="2A8E90C3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Adult learner-focused organizations or activities.</w:t>
      </w:r>
    </w:p>
    <w:p w14:paraId="3A545FAF" w14:textId="77777777" w:rsidR="00473BFB" w:rsidRPr="00C45C24" w:rsidRDefault="00473BFB" w:rsidP="00473BFB">
      <w:pPr>
        <w:pStyle w:val="ListParagraph"/>
        <w:numPr>
          <w:ilvl w:val="0"/>
          <w:numId w:val="13"/>
        </w:numPr>
        <w:spacing w:after="200" w:line="300" w:lineRule="auto"/>
      </w:pPr>
      <w:r w:rsidRPr="00C45C24">
        <w:t>Other strategies that provide support for adult learners’ needs?</w:t>
      </w:r>
    </w:p>
    <w:p w14:paraId="51E7840E" w14:textId="77777777" w:rsidR="00473BFB" w:rsidRPr="00C45C24" w:rsidRDefault="00473BFB" w:rsidP="00473BFB">
      <w:pPr>
        <w:pStyle w:val="Heading3"/>
      </w:pPr>
      <w:r w:rsidRPr="00C45C24">
        <w:t>Reflection</w:t>
      </w:r>
    </w:p>
    <w:p w14:paraId="39C1F1DD" w14:textId="77777777" w:rsidR="00473BFB" w:rsidRPr="00C45C24" w:rsidRDefault="00473BFB" w:rsidP="00473BFB">
      <w:pPr>
        <w:pStyle w:val="ListParagraph"/>
        <w:numPr>
          <w:ilvl w:val="0"/>
          <w:numId w:val="14"/>
        </w:numPr>
        <w:spacing w:after="200" w:line="300" w:lineRule="auto"/>
      </w:pPr>
      <w:r w:rsidRPr="00C45C24">
        <w:t>Describe your institution’s current strengths in supporting adult learners.</w:t>
      </w:r>
    </w:p>
    <w:p w14:paraId="606890E3" w14:textId="77777777" w:rsidR="00473BFB" w:rsidRPr="00C45C24" w:rsidRDefault="00473BFB" w:rsidP="00473BFB">
      <w:pPr>
        <w:pStyle w:val="ListParagraph"/>
        <w:numPr>
          <w:ilvl w:val="0"/>
          <w:numId w:val="14"/>
        </w:numPr>
        <w:spacing w:after="200" w:line="300" w:lineRule="auto"/>
      </w:pPr>
      <w:r w:rsidRPr="00C45C24">
        <w:t>Describe any challenges or gaps in providing support for adult learners.</w:t>
      </w:r>
    </w:p>
    <w:p w14:paraId="268B39FF" w14:textId="1A9625B4" w:rsidR="00473BFB" w:rsidRDefault="00473BFB" w:rsidP="00473BFB">
      <w:pPr>
        <w:pStyle w:val="ListParagraph"/>
        <w:numPr>
          <w:ilvl w:val="0"/>
          <w:numId w:val="14"/>
        </w:numPr>
        <w:spacing w:after="200" w:line="300" w:lineRule="auto"/>
      </w:pPr>
      <w:r w:rsidRPr="00C45C24">
        <w:t>Describe any areas of planned research or development planned for the next year in supports for adult learners.</w:t>
      </w:r>
    </w:p>
    <w:p w14:paraId="0D312E94" w14:textId="77777777" w:rsidR="005E6863" w:rsidRPr="00C45C24" w:rsidRDefault="005E6863" w:rsidP="005E6863">
      <w:pPr>
        <w:pStyle w:val="ListParagraph"/>
        <w:spacing w:after="200" w:line="300" w:lineRule="auto"/>
      </w:pPr>
    </w:p>
    <w:p w14:paraId="463CA3D5" w14:textId="19F16F79" w:rsidR="00473BFB" w:rsidRPr="00C45C24" w:rsidRDefault="005E6863" w:rsidP="00473BFB">
      <w:pPr>
        <w:pStyle w:val="Heading2"/>
      </w:pPr>
      <w:r>
        <w:t xml:space="preserve">Worksheet for </w:t>
      </w:r>
      <w:r w:rsidR="00473BFB" w:rsidRPr="00C45C24">
        <w:t>Focus Area 5: Planning and Evaluation</w:t>
      </w:r>
    </w:p>
    <w:p w14:paraId="1F660510" w14:textId="77777777" w:rsidR="00473BFB" w:rsidRPr="00C45C24" w:rsidRDefault="00473BFB" w:rsidP="00473BFB">
      <w:pPr>
        <w:pStyle w:val="Heading3"/>
      </w:pPr>
      <w:r w:rsidRPr="00C45C24">
        <w:t xml:space="preserve">Key Practices </w:t>
      </w:r>
    </w:p>
    <w:p w14:paraId="27DCF2C2" w14:textId="77777777" w:rsidR="00473BFB" w:rsidRPr="00C45C24" w:rsidRDefault="00473BFB" w:rsidP="00473BFB">
      <w:pPr>
        <w:pStyle w:val="ListParagraph"/>
        <w:numPr>
          <w:ilvl w:val="0"/>
          <w:numId w:val="15"/>
        </w:numPr>
        <w:spacing w:after="200" w:line="300" w:lineRule="auto"/>
      </w:pPr>
      <w:r w:rsidRPr="00C45C24">
        <w:t>Planning includes adult learners</w:t>
      </w:r>
    </w:p>
    <w:p w14:paraId="6259BBF0" w14:textId="77777777" w:rsidR="00473BFB" w:rsidRPr="00C45C24" w:rsidRDefault="00473BFB" w:rsidP="00473BFB">
      <w:pPr>
        <w:pStyle w:val="ListParagraph"/>
        <w:numPr>
          <w:ilvl w:val="0"/>
          <w:numId w:val="15"/>
        </w:numPr>
        <w:spacing w:after="200" w:line="300" w:lineRule="auto"/>
      </w:pPr>
      <w:r w:rsidRPr="00C45C24">
        <w:t>Policies and practices are evaluated</w:t>
      </w:r>
    </w:p>
    <w:p w14:paraId="278BE09F" w14:textId="77777777" w:rsidR="00473BFB" w:rsidRPr="00C45C24" w:rsidRDefault="00473BFB" w:rsidP="00473BFB">
      <w:pPr>
        <w:pStyle w:val="Heading3"/>
      </w:pPr>
      <w:r w:rsidRPr="00C45C24">
        <w:t xml:space="preserve">Institutional Strategies </w:t>
      </w:r>
    </w:p>
    <w:p w14:paraId="3C3505F5" w14:textId="77777777" w:rsidR="00473BFB" w:rsidRPr="00C45C24" w:rsidRDefault="00473BFB" w:rsidP="00473BFB">
      <w:pPr>
        <w:pStyle w:val="ListParagraph"/>
        <w:numPr>
          <w:ilvl w:val="0"/>
          <w:numId w:val="16"/>
        </w:numPr>
        <w:spacing w:after="200" w:line="300" w:lineRule="auto"/>
      </w:pPr>
      <w:r w:rsidRPr="00C45C24">
        <w:t>Disaggregated data collection and analysis on adult learners to guide decision-making.</w:t>
      </w:r>
    </w:p>
    <w:p w14:paraId="59326BCF" w14:textId="77777777" w:rsidR="00473BFB" w:rsidRPr="00C45C24" w:rsidRDefault="00473BFB" w:rsidP="00473BFB">
      <w:pPr>
        <w:pStyle w:val="ListParagraph"/>
        <w:numPr>
          <w:ilvl w:val="0"/>
          <w:numId w:val="16"/>
        </w:numPr>
        <w:spacing w:after="200" w:line="300" w:lineRule="auto"/>
      </w:pPr>
      <w:r w:rsidRPr="00C45C24">
        <w:t>Intentional use of an equity lens to identify any opportunity gaps in policies/programs/services for adult learners.</w:t>
      </w:r>
    </w:p>
    <w:p w14:paraId="7E5EBBF0" w14:textId="77777777" w:rsidR="00473BFB" w:rsidRPr="00C45C24" w:rsidRDefault="00473BFB" w:rsidP="00473BFB">
      <w:pPr>
        <w:pStyle w:val="ListParagraph"/>
        <w:numPr>
          <w:ilvl w:val="0"/>
          <w:numId w:val="16"/>
        </w:numPr>
        <w:spacing w:after="200" w:line="300" w:lineRule="auto"/>
      </w:pPr>
      <w:r w:rsidRPr="00C45C24">
        <w:t>Engagement of adult learner leaders in planning and evaluation.</w:t>
      </w:r>
    </w:p>
    <w:p w14:paraId="135CDAEE" w14:textId="77777777" w:rsidR="00473BFB" w:rsidRPr="00C45C24" w:rsidRDefault="00473BFB" w:rsidP="00473BFB">
      <w:pPr>
        <w:pStyle w:val="ListParagraph"/>
        <w:numPr>
          <w:ilvl w:val="0"/>
          <w:numId w:val="16"/>
        </w:numPr>
        <w:spacing w:after="200" w:line="300" w:lineRule="auto"/>
      </w:pPr>
      <w:r w:rsidRPr="00C45C24">
        <w:t>College-wide strategies designed to increase enrollment, persistence and graduation of adult learners.</w:t>
      </w:r>
    </w:p>
    <w:p w14:paraId="6C478FEF" w14:textId="77777777" w:rsidR="00473BFB" w:rsidRPr="00C45C24" w:rsidRDefault="00473BFB" w:rsidP="00473BFB">
      <w:pPr>
        <w:pStyle w:val="ListParagraph"/>
        <w:numPr>
          <w:ilvl w:val="0"/>
          <w:numId w:val="16"/>
        </w:numPr>
        <w:spacing w:after="200" w:line="300" w:lineRule="auto"/>
      </w:pPr>
      <w:r w:rsidRPr="00C45C24">
        <w:t>Progress and improvements in serving adult learners reported to stakeholders (board of trustees, accreditors, etc.).</w:t>
      </w:r>
    </w:p>
    <w:p w14:paraId="1069BBDD" w14:textId="77777777" w:rsidR="00473BFB" w:rsidRPr="00C45C24" w:rsidRDefault="00473BFB" w:rsidP="00473BFB">
      <w:pPr>
        <w:pStyle w:val="ListParagraph"/>
        <w:numPr>
          <w:ilvl w:val="0"/>
          <w:numId w:val="16"/>
        </w:numPr>
        <w:spacing w:after="200" w:line="300" w:lineRule="auto"/>
      </w:pPr>
      <w:r w:rsidRPr="00C45C24">
        <w:t>Other evaluation or strategic development efforts that are supportive of adult learners?</w:t>
      </w:r>
    </w:p>
    <w:p w14:paraId="4358C076" w14:textId="77777777" w:rsidR="00473BFB" w:rsidRPr="00C45C24" w:rsidRDefault="00473BFB" w:rsidP="00473BFB">
      <w:pPr>
        <w:pStyle w:val="Heading3"/>
      </w:pPr>
      <w:r w:rsidRPr="00C45C24">
        <w:lastRenderedPageBreak/>
        <w:t xml:space="preserve">Reflection </w:t>
      </w:r>
    </w:p>
    <w:p w14:paraId="3EDC4B08" w14:textId="77777777" w:rsidR="00473BFB" w:rsidRPr="00C45C24" w:rsidRDefault="00473BFB" w:rsidP="00473BFB">
      <w:pPr>
        <w:pStyle w:val="ListParagraph"/>
        <w:numPr>
          <w:ilvl w:val="0"/>
          <w:numId w:val="17"/>
        </w:numPr>
        <w:spacing w:after="200" w:line="300" w:lineRule="auto"/>
      </w:pPr>
      <w:r w:rsidRPr="00C45C24">
        <w:t>Describe your institution’s current strengths in adult learner-focused planning and evaluation.</w:t>
      </w:r>
    </w:p>
    <w:p w14:paraId="2437356B" w14:textId="46D9769C" w:rsidR="00473BFB" w:rsidRDefault="00473BFB" w:rsidP="00473BFB">
      <w:pPr>
        <w:pStyle w:val="ListParagraph"/>
        <w:numPr>
          <w:ilvl w:val="0"/>
          <w:numId w:val="17"/>
        </w:numPr>
        <w:spacing w:after="200" w:line="300" w:lineRule="auto"/>
      </w:pPr>
      <w:r w:rsidRPr="00C45C24">
        <w:t>Describe any challenges or gaps in strategic planning and evaluation focused on adult learners.</w:t>
      </w:r>
    </w:p>
    <w:p w14:paraId="481DEB24" w14:textId="605F01AA" w:rsidR="00E40872" w:rsidRPr="005E6863" w:rsidRDefault="005E6863" w:rsidP="00084D40">
      <w:pPr>
        <w:pStyle w:val="ListParagraph"/>
        <w:numPr>
          <w:ilvl w:val="0"/>
          <w:numId w:val="17"/>
        </w:numPr>
        <w:spacing w:after="200" w:line="300" w:lineRule="auto"/>
        <w:rPr>
          <w:rFonts w:cstheme="minorHAnsi"/>
        </w:rPr>
      </w:pPr>
      <w:r>
        <w:t>Describe any areas of planned research, strategic planning and evaluation focused on adult learners in the next year.</w:t>
      </w:r>
    </w:p>
    <w:sectPr w:rsidR="00E40872" w:rsidRPr="005E6863" w:rsidSect="008C7B2A">
      <w:headerReference w:type="default" r:id="rId13"/>
      <w:footerReference w:type="default" r:id="rId14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EBE3" w14:textId="77777777" w:rsidR="00F93F1E" w:rsidRDefault="00F93F1E" w:rsidP="00866523">
      <w:pPr>
        <w:spacing w:after="0" w:line="240" w:lineRule="auto"/>
      </w:pPr>
      <w:r>
        <w:separator/>
      </w:r>
    </w:p>
  </w:endnote>
  <w:endnote w:type="continuationSeparator" w:id="0">
    <w:p w14:paraId="233DC293" w14:textId="77777777" w:rsidR="00F93F1E" w:rsidRDefault="00F93F1E" w:rsidP="0086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10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EFF4F" w14:textId="14AFED4D" w:rsidR="005E6863" w:rsidRDefault="005E6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6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38A19A" w14:textId="77777777" w:rsidR="005E6863" w:rsidRDefault="005E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3359" w14:textId="77777777" w:rsidR="00F93F1E" w:rsidRDefault="00F93F1E" w:rsidP="00866523">
      <w:pPr>
        <w:spacing w:after="0" w:line="240" w:lineRule="auto"/>
      </w:pPr>
      <w:r>
        <w:separator/>
      </w:r>
    </w:p>
  </w:footnote>
  <w:footnote w:type="continuationSeparator" w:id="0">
    <w:p w14:paraId="3CF78F98" w14:textId="77777777" w:rsidR="00F93F1E" w:rsidRDefault="00F93F1E" w:rsidP="0086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ADBE" w14:textId="11800E38" w:rsidR="0011356C" w:rsidRDefault="008C7B2A" w:rsidP="008C7B2A">
    <w:pPr>
      <w:pStyle w:val="Header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3B5"/>
    <w:multiLevelType w:val="hybridMultilevel"/>
    <w:tmpl w:val="93BC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8BE"/>
    <w:multiLevelType w:val="hybridMultilevel"/>
    <w:tmpl w:val="7DD8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0155"/>
    <w:multiLevelType w:val="hybridMultilevel"/>
    <w:tmpl w:val="7144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23B"/>
    <w:multiLevelType w:val="hybridMultilevel"/>
    <w:tmpl w:val="D74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5B8"/>
    <w:multiLevelType w:val="hybridMultilevel"/>
    <w:tmpl w:val="317A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B02B0"/>
    <w:multiLevelType w:val="hybridMultilevel"/>
    <w:tmpl w:val="951A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E20"/>
    <w:multiLevelType w:val="hybridMultilevel"/>
    <w:tmpl w:val="8E6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7154"/>
    <w:multiLevelType w:val="hybridMultilevel"/>
    <w:tmpl w:val="C16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F4D2D"/>
    <w:multiLevelType w:val="hybridMultilevel"/>
    <w:tmpl w:val="D4A0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E2854"/>
    <w:multiLevelType w:val="hybridMultilevel"/>
    <w:tmpl w:val="BB2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65594"/>
    <w:multiLevelType w:val="hybridMultilevel"/>
    <w:tmpl w:val="DB36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17C4"/>
    <w:multiLevelType w:val="hybridMultilevel"/>
    <w:tmpl w:val="E6C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4756"/>
    <w:multiLevelType w:val="hybridMultilevel"/>
    <w:tmpl w:val="E0D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4D1C"/>
    <w:multiLevelType w:val="hybridMultilevel"/>
    <w:tmpl w:val="F978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B41A2"/>
    <w:multiLevelType w:val="hybridMultilevel"/>
    <w:tmpl w:val="46C2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153AA"/>
    <w:multiLevelType w:val="hybridMultilevel"/>
    <w:tmpl w:val="E65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11FC5"/>
    <w:multiLevelType w:val="hybridMultilevel"/>
    <w:tmpl w:val="143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0440D"/>
    <w:multiLevelType w:val="hybridMultilevel"/>
    <w:tmpl w:val="B3E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4"/>
  </w:num>
  <w:num w:numId="8">
    <w:abstractNumId w:val="16"/>
  </w:num>
  <w:num w:numId="9">
    <w:abstractNumId w:val="13"/>
  </w:num>
  <w:num w:numId="10">
    <w:abstractNumId w:val="2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6"/>
  </w:num>
  <w:num w:numId="16">
    <w:abstractNumId w:val="11"/>
  </w:num>
  <w:num w:numId="17">
    <w:abstractNumId w:val="1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TawNLA0trCwMDZX0lEKTi0uzszPAykwrAUAWm1aBiwAAAA="/>
  </w:docVars>
  <w:rsids>
    <w:rsidRoot w:val="00F47C73"/>
    <w:rsid w:val="000000B0"/>
    <w:rsid w:val="00015F11"/>
    <w:rsid w:val="000170BF"/>
    <w:rsid w:val="00041636"/>
    <w:rsid w:val="00045E26"/>
    <w:rsid w:val="00046841"/>
    <w:rsid w:val="00055089"/>
    <w:rsid w:val="000563AE"/>
    <w:rsid w:val="00056C90"/>
    <w:rsid w:val="00062EE2"/>
    <w:rsid w:val="000768CA"/>
    <w:rsid w:val="0008796A"/>
    <w:rsid w:val="0009381E"/>
    <w:rsid w:val="000C0813"/>
    <w:rsid w:val="000C27FA"/>
    <w:rsid w:val="000C3377"/>
    <w:rsid w:val="000D36CE"/>
    <w:rsid w:val="000D5C6B"/>
    <w:rsid w:val="000D6FC7"/>
    <w:rsid w:val="000E7A95"/>
    <w:rsid w:val="0011356C"/>
    <w:rsid w:val="001157E1"/>
    <w:rsid w:val="00133250"/>
    <w:rsid w:val="00137076"/>
    <w:rsid w:val="00145F32"/>
    <w:rsid w:val="00147E6C"/>
    <w:rsid w:val="00166AD1"/>
    <w:rsid w:val="00171A2A"/>
    <w:rsid w:val="00183D20"/>
    <w:rsid w:val="001A5601"/>
    <w:rsid w:val="001A5E50"/>
    <w:rsid w:val="001C5ADF"/>
    <w:rsid w:val="001F6F3D"/>
    <w:rsid w:val="00205F5E"/>
    <w:rsid w:val="002060B9"/>
    <w:rsid w:val="002208FB"/>
    <w:rsid w:val="00221A09"/>
    <w:rsid w:val="00265203"/>
    <w:rsid w:val="002676CB"/>
    <w:rsid w:val="00276FBF"/>
    <w:rsid w:val="00291646"/>
    <w:rsid w:val="002A2A78"/>
    <w:rsid w:val="002B532F"/>
    <w:rsid w:val="002C2A25"/>
    <w:rsid w:val="002D6917"/>
    <w:rsid w:val="002E265A"/>
    <w:rsid w:val="002E3618"/>
    <w:rsid w:val="002F3B95"/>
    <w:rsid w:val="002F7A83"/>
    <w:rsid w:val="00303A2D"/>
    <w:rsid w:val="00313506"/>
    <w:rsid w:val="00314C59"/>
    <w:rsid w:val="00314F5A"/>
    <w:rsid w:val="00336441"/>
    <w:rsid w:val="00354793"/>
    <w:rsid w:val="00356C80"/>
    <w:rsid w:val="003677B3"/>
    <w:rsid w:val="003718A9"/>
    <w:rsid w:val="00374141"/>
    <w:rsid w:val="003802D8"/>
    <w:rsid w:val="00392315"/>
    <w:rsid w:val="003C0FC7"/>
    <w:rsid w:val="0040059A"/>
    <w:rsid w:val="00437231"/>
    <w:rsid w:val="00446D9B"/>
    <w:rsid w:val="00454F4F"/>
    <w:rsid w:val="00473BFB"/>
    <w:rsid w:val="00492F4A"/>
    <w:rsid w:val="004A1EF1"/>
    <w:rsid w:val="004B5BD2"/>
    <w:rsid w:val="004D27F5"/>
    <w:rsid w:val="004D7247"/>
    <w:rsid w:val="004F542A"/>
    <w:rsid w:val="00522D6F"/>
    <w:rsid w:val="005348DC"/>
    <w:rsid w:val="00541A66"/>
    <w:rsid w:val="00582953"/>
    <w:rsid w:val="00586118"/>
    <w:rsid w:val="00597C61"/>
    <w:rsid w:val="005C354C"/>
    <w:rsid w:val="005E6863"/>
    <w:rsid w:val="005F6A03"/>
    <w:rsid w:val="00603CD5"/>
    <w:rsid w:val="00616596"/>
    <w:rsid w:val="00635599"/>
    <w:rsid w:val="0065305E"/>
    <w:rsid w:val="00674C66"/>
    <w:rsid w:val="006911C5"/>
    <w:rsid w:val="006962CA"/>
    <w:rsid w:val="006A5EF0"/>
    <w:rsid w:val="006C1DD4"/>
    <w:rsid w:val="006C5036"/>
    <w:rsid w:val="006F382D"/>
    <w:rsid w:val="006F3BFD"/>
    <w:rsid w:val="00726CB3"/>
    <w:rsid w:val="00733A0D"/>
    <w:rsid w:val="00736995"/>
    <w:rsid w:val="00742525"/>
    <w:rsid w:val="00782A60"/>
    <w:rsid w:val="00787582"/>
    <w:rsid w:val="00787D96"/>
    <w:rsid w:val="007B3642"/>
    <w:rsid w:val="007B4125"/>
    <w:rsid w:val="007C10B2"/>
    <w:rsid w:val="007C12A1"/>
    <w:rsid w:val="007F2610"/>
    <w:rsid w:val="007F7E35"/>
    <w:rsid w:val="00801ECE"/>
    <w:rsid w:val="008043B3"/>
    <w:rsid w:val="00820FDF"/>
    <w:rsid w:val="00826456"/>
    <w:rsid w:val="00826984"/>
    <w:rsid w:val="00830BB1"/>
    <w:rsid w:val="00856C9C"/>
    <w:rsid w:val="00866523"/>
    <w:rsid w:val="00883BC0"/>
    <w:rsid w:val="008A637B"/>
    <w:rsid w:val="008C1BDB"/>
    <w:rsid w:val="008C7B2A"/>
    <w:rsid w:val="008E4FE6"/>
    <w:rsid w:val="00937A0E"/>
    <w:rsid w:val="00943DC2"/>
    <w:rsid w:val="00994078"/>
    <w:rsid w:val="009A0B06"/>
    <w:rsid w:val="009B36ED"/>
    <w:rsid w:val="009C6C33"/>
    <w:rsid w:val="009E3586"/>
    <w:rsid w:val="00A00B5B"/>
    <w:rsid w:val="00A17297"/>
    <w:rsid w:val="00A26F87"/>
    <w:rsid w:val="00A42ED9"/>
    <w:rsid w:val="00A612FF"/>
    <w:rsid w:val="00AA2487"/>
    <w:rsid w:val="00AD6EA0"/>
    <w:rsid w:val="00AE43FC"/>
    <w:rsid w:val="00AF3E50"/>
    <w:rsid w:val="00B00CA5"/>
    <w:rsid w:val="00B016E9"/>
    <w:rsid w:val="00B02DDF"/>
    <w:rsid w:val="00B0596C"/>
    <w:rsid w:val="00B3432B"/>
    <w:rsid w:val="00B7291C"/>
    <w:rsid w:val="00B76E25"/>
    <w:rsid w:val="00B81B15"/>
    <w:rsid w:val="00BA73C4"/>
    <w:rsid w:val="00BB5770"/>
    <w:rsid w:val="00BF743B"/>
    <w:rsid w:val="00C06AAB"/>
    <w:rsid w:val="00C21052"/>
    <w:rsid w:val="00C52BD8"/>
    <w:rsid w:val="00C60237"/>
    <w:rsid w:val="00C861D1"/>
    <w:rsid w:val="00C94FBD"/>
    <w:rsid w:val="00C95F34"/>
    <w:rsid w:val="00CA021E"/>
    <w:rsid w:val="00CD0D2C"/>
    <w:rsid w:val="00CE51DF"/>
    <w:rsid w:val="00CF684D"/>
    <w:rsid w:val="00D00032"/>
    <w:rsid w:val="00D21D7C"/>
    <w:rsid w:val="00D579A8"/>
    <w:rsid w:val="00D743FA"/>
    <w:rsid w:val="00D80683"/>
    <w:rsid w:val="00D9056F"/>
    <w:rsid w:val="00D94E0E"/>
    <w:rsid w:val="00DB3F02"/>
    <w:rsid w:val="00DC6E51"/>
    <w:rsid w:val="00DF1F3B"/>
    <w:rsid w:val="00DF307B"/>
    <w:rsid w:val="00E15A53"/>
    <w:rsid w:val="00E23520"/>
    <w:rsid w:val="00E24962"/>
    <w:rsid w:val="00E40872"/>
    <w:rsid w:val="00E65793"/>
    <w:rsid w:val="00E67331"/>
    <w:rsid w:val="00E93BA1"/>
    <w:rsid w:val="00EA1574"/>
    <w:rsid w:val="00EA63E4"/>
    <w:rsid w:val="00F00D5C"/>
    <w:rsid w:val="00F15D65"/>
    <w:rsid w:val="00F2210E"/>
    <w:rsid w:val="00F30224"/>
    <w:rsid w:val="00F47C73"/>
    <w:rsid w:val="00F52960"/>
    <w:rsid w:val="00F5709B"/>
    <w:rsid w:val="00F6573B"/>
    <w:rsid w:val="00F836F8"/>
    <w:rsid w:val="00F93F1E"/>
    <w:rsid w:val="00F95192"/>
    <w:rsid w:val="00F95E30"/>
    <w:rsid w:val="00FC19F5"/>
    <w:rsid w:val="00FC5FB8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F5006"/>
  <w15:chartTrackingRefBased/>
  <w15:docId w15:val="{53B8010B-CEFF-4870-8609-A6347CCA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D20"/>
  </w:style>
  <w:style w:type="paragraph" w:styleId="Heading1">
    <w:name w:val="heading 1"/>
    <w:basedOn w:val="Normal"/>
    <w:next w:val="Normal"/>
    <w:link w:val="Heading1Char"/>
    <w:uiPriority w:val="9"/>
    <w:qFormat/>
    <w:rsid w:val="00D2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C73"/>
    <w:pPr>
      <w:spacing w:after="0" w:line="240" w:lineRule="auto"/>
    </w:pPr>
  </w:style>
  <w:style w:type="table" w:styleId="TableGrid">
    <w:name w:val="Table Grid"/>
    <w:basedOn w:val="TableNormal"/>
    <w:uiPriority w:val="39"/>
    <w:rsid w:val="00F4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73"/>
  </w:style>
  <w:style w:type="character" w:styleId="CommentReference">
    <w:name w:val="annotation reference"/>
    <w:basedOn w:val="DefaultParagraphFont"/>
    <w:uiPriority w:val="99"/>
    <w:semiHidden/>
    <w:unhideWhenUsed/>
    <w:rsid w:val="00F4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C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2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23"/>
  </w:style>
  <w:style w:type="paragraph" w:styleId="Revision">
    <w:name w:val="Revision"/>
    <w:hidden/>
    <w:uiPriority w:val="99"/>
    <w:semiHidden/>
    <w:rsid w:val="00541A6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47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3A2D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062E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73B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unhideWhenUsed/>
    <w:qFormat/>
    <w:rsid w:val="00473BFB"/>
    <w:rPr>
      <w:rFonts w:ascii="Calibri Light" w:hAnsi="Calibri Light"/>
      <w:b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3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gizmo.com/s3/5358857/Compass-Institutional-Self-Assessment-and-Response-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13" ma:contentTypeDescription="Create a new document." ma:contentTypeScope="" ma:versionID="23cf0515e9b7c79e6d288bdd6cb5ca75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e6d15ddf98db164d6b0de4f644ae416d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D420-560A-43C2-9742-D1789AE29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265FC-EE2D-4012-BBB2-3956643FD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A347F-B43B-45C1-8D21-158FEB6F5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9E64E-53FA-4FE1-9B4F-41E6562F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College and Career Compass</vt:lpstr>
    </vt:vector>
  </TitlesOfParts>
  <Company>Washington Student Achievement Council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College and Career Compass</dc:title>
  <dc:subject/>
  <dc:creator>Magisos, Ami (WSAC)</dc:creator>
  <cp:keywords/>
  <dc:description/>
  <cp:lastModifiedBy>Tallman, Katie (WSAC)</cp:lastModifiedBy>
  <cp:revision>2</cp:revision>
  <cp:lastPrinted>2019-11-27T21:39:00Z</cp:lastPrinted>
  <dcterms:created xsi:type="dcterms:W3CDTF">2020-01-10T20:51:00Z</dcterms:created>
  <dcterms:modified xsi:type="dcterms:W3CDTF">2020-01-10T20:51:00Z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0x0101000756E07B8C6FDF4AA9C8148FCBB0BCEE</vt:lpwstr>
  </property>
</Properties>
</file>